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right="120"/>
        <w:jc w:val="center"/>
        <w:rPr>
          <w:rFonts w:hint="eastAsia" w:ascii="仿宋_GB2312" w:hAnsi="宋体" w:eastAsia="仿宋_GB2312" w:cs="宋体"/>
          <w:bCs/>
          <w:color w:val="auto"/>
          <w:kern w:val="0"/>
          <w:sz w:val="28"/>
          <w:szCs w:val="28"/>
        </w:rPr>
      </w:pPr>
      <w:r>
        <w:rPr>
          <w:color w:val="auto"/>
        </w:rPr>
        <w:drawing>
          <wp:inline distT="0" distB="0" distL="114300" distR="114300">
            <wp:extent cx="5498465" cy="1107440"/>
            <wp:effectExtent l="0" t="0" r="6985" b="16510"/>
            <wp:docPr id="3" name="图片 1" descr="C:\Users\Administrator.2013-20150404JN\Desktop\抬头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2013-20150404JN\Desktop\抬头3.jpg"/>
                    <pic:cNvPicPr>
                      <a:picLocks noChangeAspect="1" noChangeArrowheads="1"/>
                    </pic:cNvPicPr>
                  </pic:nvPicPr>
                  <pic:blipFill>
                    <a:blip r:embed="rId4" cstate="print"/>
                    <a:srcRect/>
                    <a:stretch>
                      <a:fillRect/>
                    </a:stretch>
                  </pic:blipFill>
                  <pic:spPr>
                    <a:xfrm>
                      <a:off x="0" y="0"/>
                      <a:ext cx="5274310" cy="717474"/>
                    </a:xfrm>
                    <a:prstGeom prst="rect">
                      <a:avLst/>
                    </a:prstGeom>
                    <a:noFill/>
                    <a:ln w="9525">
                      <a:noFill/>
                      <a:miter lim="800000"/>
                      <a:headEnd/>
                      <a:tailEnd/>
                    </a:ln>
                    <a:effectLst/>
                  </pic:spPr>
                </pic:pic>
              </a:graphicData>
            </a:graphic>
          </wp:inline>
        </w:drawing>
      </w:r>
    </w:p>
    <w:p>
      <w:pPr>
        <w:widowControl/>
        <w:spacing w:line="300" w:lineRule="atLeast"/>
        <w:ind w:right="120" w:firstLine="2940" w:firstLineChars="1050"/>
        <w:rPr>
          <w:rFonts w:hint="eastAsia" w:ascii="宋体" w:hAnsi="宋体" w:cs="宋体"/>
          <w:bCs/>
          <w:color w:val="auto"/>
          <w:sz w:val="30"/>
          <w:szCs w:val="30"/>
          <w:shd w:val="clear" w:color="auto" w:fill="FFFFFF"/>
        </w:rPr>
      </w:pPr>
      <w:r>
        <w:rPr>
          <w:rFonts w:hint="eastAsia" w:ascii="仿宋_GB2312" w:hAnsi="宋体" w:eastAsia="仿宋_GB2312" w:cs="宋体"/>
          <w:bCs/>
          <w:color w:val="auto"/>
          <w:kern w:val="0"/>
          <w:sz w:val="28"/>
          <w:szCs w:val="28"/>
        </w:rPr>
        <w:t xml:space="preserve">           </w:t>
      </w:r>
      <w:r>
        <w:rPr>
          <w:rFonts w:hint="eastAsia" w:ascii="仿宋_GB2312" w:hAnsi="宋体" w:eastAsia="仿宋_GB2312" w:cs="宋体"/>
          <w:bCs/>
          <w:color w:val="auto"/>
          <w:kern w:val="0"/>
          <w:sz w:val="30"/>
          <w:szCs w:val="30"/>
        </w:rPr>
        <w:t xml:space="preserve"> </w:t>
      </w:r>
      <w:r>
        <w:rPr>
          <w:rFonts w:hint="eastAsia" w:ascii="宋体" w:hAnsi="宋体" w:cs="宋体"/>
          <w:bCs/>
          <w:color w:val="auto"/>
          <w:kern w:val="0"/>
          <w:sz w:val="30"/>
          <w:szCs w:val="30"/>
        </w:rPr>
        <w:t>一带一路</w:t>
      </w:r>
      <w:r>
        <w:rPr>
          <w:rFonts w:hint="eastAsia" w:ascii="宋体" w:hAnsi="宋体" w:cs="宋体"/>
          <w:bCs/>
          <w:color w:val="auto"/>
          <w:kern w:val="0"/>
          <w:sz w:val="30"/>
          <w:szCs w:val="30"/>
          <w:lang w:eastAsia="zh-CN"/>
        </w:rPr>
        <w:t>中心</w:t>
      </w:r>
      <w:r>
        <w:rPr>
          <w:rFonts w:hint="eastAsia" w:ascii="宋体" w:hAnsi="宋体" w:cs="宋体"/>
          <w:bCs/>
          <w:color w:val="auto"/>
          <w:kern w:val="0"/>
          <w:sz w:val="30"/>
          <w:szCs w:val="30"/>
        </w:rPr>
        <w:t>〔2017〕</w:t>
      </w:r>
      <w:r>
        <w:rPr>
          <w:rFonts w:hint="eastAsia" w:ascii="宋体" w:hAnsi="宋体" w:cs="宋体"/>
          <w:bCs/>
          <w:color w:val="auto"/>
          <w:kern w:val="0"/>
          <w:sz w:val="30"/>
          <w:szCs w:val="30"/>
          <w:lang w:val="en-US" w:eastAsia="zh-CN"/>
        </w:rPr>
        <w:t>14</w:t>
      </w:r>
      <w:r>
        <w:rPr>
          <w:rFonts w:hint="eastAsia" w:ascii="宋体" w:hAnsi="宋体" w:cs="宋体"/>
          <w:bCs/>
          <w:color w:val="auto"/>
          <w:kern w:val="0"/>
          <w:sz w:val="30"/>
          <w:szCs w:val="30"/>
        </w:rPr>
        <w:t>号</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36"/>
          <w:szCs w:val="36"/>
          <w:lang w:val="en-US" w:eastAsia="zh-CN"/>
        </w:rPr>
      </w:pPr>
      <w:r>
        <w:rPr>
          <w:rFonts w:hint="eastAsia" w:ascii="微软雅黑" w:hAnsi="微软雅黑" w:eastAsia="微软雅黑" w:cs="微软雅黑"/>
          <w:b/>
          <w:sz w:val="36"/>
          <w:szCs w:val="36"/>
        </w:rPr>
        <w:t>关于</w:t>
      </w:r>
      <w:r>
        <w:rPr>
          <w:rFonts w:hint="eastAsia" w:ascii="微软雅黑" w:hAnsi="微软雅黑" w:eastAsia="微软雅黑" w:cs="微软雅黑"/>
          <w:b/>
          <w:sz w:val="36"/>
          <w:szCs w:val="36"/>
          <w:lang w:eastAsia="zh-CN"/>
        </w:rPr>
        <w:t>组织企业赴香港出席</w:t>
      </w:r>
      <w:r>
        <w:rPr>
          <w:rFonts w:hint="eastAsia" w:ascii="微软雅黑" w:hAnsi="微软雅黑" w:eastAsia="微软雅黑" w:cs="微软雅黑"/>
          <w:b/>
          <w:sz w:val="36"/>
          <w:szCs w:val="36"/>
          <w:lang w:val="en-US" w:eastAsia="zh-CN"/>
        </w:rPr>
        <w:t>第二届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44"/>
          <w:szCs w:val="44"/>
        </w:rPr>
      </w:pPr>
      <w:r>
        <w:rPr>
          <w:rFonts w:hint="eastAsia" w:ascii="黑体" w:hAnsi="黑体" w:eastAsia="黑体" w:cs="黑体"/>
          <w:b/>
          <w:sz w:val="36"/>
          <w:szCs w:val="36"/>
        </w:rPr>
        <w:t>“</w:t>
      </w:r>
      <w:r>
        <w:rPr>
          <w:rFonts w:hint="eastAsia" w:ascii="微软雅黑" w:hAnsi="微软雅黑" w:eastAsia="微软雅黑" w:cs="微软雅黑"/>
          <w:b/>
          <w:sz w:val="36"/>
          <w:szCs w:val="36"/>
        </w:rPr>
        <w:t>一带一路</w:t>
      </w:r>
      <w:r>
        <w:rPr>
          <w:rFonts w:hint="eastAsia" w:ascii="黑体" w:hAnsi="黑体" w:eastAsia="黑体" w:cs="黑体"/>
          <w:b/>
          <w:sz w:val="36"/>
          <w:szCs w:val="36"/>
        </w:rPr>
        <w:t>”</w:t>
      </w:r>
      <w:r>
        <w:rPr>
          <w:rFonts w:hint="eastAsia" w:ascii="微软雅黑" w:hAnsi="微软雅黑" w:eastAsia="微软雅黑" w:cs="微软雅黑"/>
          <w:b/>
          <w:sz w:val="36"/>
          <w:szCs w:val="36"/>
          <w:lang w:eastAsia="zh-CN"/>
        </w:rPr>
        <w:t>高峰论坛暨中小企业项目对接活动的</w:t>
      </w:r>
      <w:r>
        <w:rPr>
          <w:rFonts w:hint="eastAsia" w:ascii="微软雅黑" w:hAnsi="微软雅黑" w:eastAsia="微软雅黑" w:cs="微软雅黑"/>
          <w:b/>
          <w:sz w:val="36"/>
          <w:szCs w:val="36"/>
        </w:rPr>
        <w:t>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微软雅黑" w:hAnsi="微软雅黑" w:eastAsia="微软雅黑" w:cs="微软雅黑"/>
          <w:b/>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各有关单位：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left"/>
        <w:textAlignment w:val="auto"/>
        <w:outlineLvl w:val="9"/>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color w:val="000000" w:themeColor="text1"/>
          <w:sz w:val="28"/>
          <w:szCs w:val="28"/>
          <w:lang w:eastAsia="zh-CN"/>
          <w14:textFill>
            <w14:solidFill>
              <w14:schemeClr w14:val="tx1"/>
            </w14:solidFill>
          </w14:textFill>
        </w:rPr>
        <w:t>由香港特别行政区政府主办，中国外交部</w:t>
      </w:r>
      <w:r>
        <w:rPr>
          <w:rFonts w:hint="eastAsia" w:ascii="仿宋" w:hAnsi="仿宋" w:eastAsia="仿宋" w:cs="仿宋"/>
          <w:b w:val="0"/>
          <w:bCs/>
          <w:color w:val="000000" w:themeColor="text1"/>
          <w:sz w:val="28"/>
          <w:szCs w:val="28"/>
          <w:lang w:val="en-US" w:eastAsia="zh-CN"/>
          <w14:textFill>
            <w14:solidFill>
              <w14:schemeClr w14:val="tx1"/>
            </w14:solidFill>
          </w14:textFill>
        </w:rPr>
        <w:t>、中国</w:t>
      </w:r>
      <w:r>
        <w:rPr>
          <w:rFonts w:hint="eastAsia" w:ascii="仿宋" w:hAnsi="仿宋" w:eastAsia="仿宋" w:cs="仿宋"/>
          <w:b w:val="0"/>
          <w:bCs/>
          <w:color w:val="000000" w:themeColor="text1"/>
          <w:sz w:val="28"/>
          <w:szCs w:val="28"/>
          <w:lang w:eastAsia="zh-CN"/>
          <w14:textFill>
            <w14:solidFill>
              <w14:schemeClr w14:val="tx1"/>
            </w14:solidFill>
          </w14:textFill>
        </w:rPr>
        <w:t>商务部、国家发改委、中国人民银行支持，香港贸易发展局联办的</w:t>
      </w:r>
      <w:r>
        <w:rPr>
          <w:rFonts w:hint="eastAsia" w:ascii="仿宋" w:hAnsi="仿宋" w:eastAsia="仿宋" w:cs="仿宋"/>
          <w:b w:val="0"/>
          <w:bCs/>
          <w:color w:val="000000" w:themeColor="text1"/>
          <w:sz w:val="28"/>
          <w:szCs w:val="28"/>
          <w14:textFill>
            <w14:solidFill>
              <w14:schemeClr w14:val="tx1"/>
            </w14:solidFill>
          </w14:textFill>
        </w:rPr>
        <w:t>第二届</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一带一路</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高峰论坛</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将</w:t>
      </w:r>
      <w:r>
        <w:rPr>
          <w:rFonts w:hint="eastAsia" w:ascii="仿宋" w:hAnsi="仿宋" w:eastAsia="仿宋" w:cs="仿宋"/>
          <w:b w:val="0"/>
          <w:bCs/>
          <w:color w:val="000000" w:themeColor="text1"/>
          <w:sz w:val="28"/>
          <w:szCs w:val="28"/>
          <w:lang w:eastAsia="zh-CN"/>
          <w14:textFill>
            <w14:solidFill>
              <w14:schemeClr w14:val="tx1"/>
            </w14:solidFill>
          </w14:textFill>
        </w:rPr>
        <w:t>于</w:t>
      </w:r>
      <w:r>
        <w:rPr>
          <w:rFonts w:hint="eastAsia" w:ascii="仿宋" w:hAnsi="仿宋" w:eastAsia="仿宋" w:cs="仿宋"/>
          <w:b w:val="0"/>
          <w:bCs/>
          <w:color w:val="000000" w:themeColor="text1"/>
          <w:sz w:val="28"/>
          <w:szCs w:val="28"/>
          <w14:textFill>
            <w14:solidFill>
              <w14:schemeClr w14:val="tx1"/>
            </w14:solidFill>
          </w14:textFill>
        </w:rPr>
        <w:t>2017年9月11日</w:t>
      </w:r>
      <w:bookmarkStart w:id="0" w:name="_GoBack"/>
      <w:bookmarkEnd w:id="0"/>
      <w:r>
        <w:rPr>
          <w:rFonts w:hint="eastAsia" w:ascii="仿宋" w:hAnsi="仿宋" w:eastAsia="仿宋" w:cs="仿宋"/>
          <w:b w:val="0"/>
          <w:bCs/>
          <w:color w:val="000000" w:themeColor="text1"/>
          <w:sz w:val="28"/>
          <w:szCs w:val="28"/>
          <w14:textFill>
            <w14:solidFill>
              <w14:schemeClr w14:val="tx1"/>
            </w14:solidFill>
          </w14:textFill>
        </w:rPr>
        <w:t>在香港会展中心</w:t>
      </w:r>
      <w:r>
        <w:rPr>
          <w:rFonts w:hint="eastAsia" w:ascii="仿宋" w:hAnsi="仿宋" w:eastAsia="仿宋" w:cs="仿宋"/>
          <w:b w:val="0"/>
          <w:bCs/>
          <w:color w:val="000000" w:themeColor="text1"/>
          <w:sz w:val="28"/>
          <w:szCs w:val="28"/>
          <w:lang w:eastAsia="zh-CN"/>
          <w14:textFill>
            <w14:solidFill>
              <w14:schemeClr w14:val="tx1"/>
            </w14:solidFill>
          </w14:textFill>
        </w:rPr>
        <w:t>举行。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“一带一路”是中央政府对外发展的重要蓝图，蕴藏着巨大投资机遇。2016年首届“一带一路”高峰论坛总共有40多位演讲嘉宾出席，当中包括中共中央政治局常委、全国人大常委会委员长张德江先生</w:t>
      </w:r>
      <w:r>
        <w:rPr>
          <w:rFonts w:hint="eastAsia" w:ascii="仿宋" w:hAnsi="仿宋" w:eastAsia="仿宋" w:cs="仿宋"/>
          <w:b w:val="0"/>
          <w:bCs/>
          <w:color w:val="000000" w:themeColor="text1"/>
          <w:sz w:val="28"/>
          <w:szCs w:val="28"/>
          <w14:textFill>
            <w14:solidFill>
              <w14:schemeClr w14:val="tx1"/>
            </w14:solidFill>
          </w14:textFill>
        </w:rPr>
        <w:t>出席论坛开幕式并发表了题为《发挥香港独特优势 共创“一带一路”美好未来》的主旨演讲</w:t>
      </w:r>
      <w:r>
        <w:rPr>
          <w:rFonts w:hint="eastAsia" w:ascii="仿宋" w:hAnsi="仿宋" w:eastAsia="仿宋" w:cs="仿宋"/>
          <w:b w:val="0"/>
          <w:bCs/>
          <w:color w:val="000000" w:themeColor="text1"/>
          <w:sz w:val="28"/>
          <w:szCs w:val="28"/>
          <w:lang w:eastAsia="zh-CN"/>
          <w14:textFill>
            <w14:solidFill>
              <w14:schemeClr w14:val="tx1"/>
            </w14:solidFill>
          </w14:textFill>
        </w:rPr>
        <w:t>，吸引逾2400位来自48个国家和地区的官员及商界领袖</w:t>
      </w:r>
      <w:r>
        <w:rPr>
          <w:rFonts w:hint="eastAsia" w:ascii="仿宋" w:hAnsi="仿宋" w:eastAsia="仿宋" w:cs="仿宋"/>
          <w:b w:val="0"/>
          <w:bCs/>
          <w:color w:val="000000" w:themeColor="text1"/>
          <w:sz w:val="28"/>
          <w:szCs w:val="28"/>
          <w14:textFill>
            <w14:solidFill>
              <w14:schemeClr w14:val="tx1"/>
            </w14:solidFill>
          </w14:textFill>
        </w:rPr>
        <w:t>出席论坛共襄盛举。</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第二届</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一带一路</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高峰论坛</w:t>
      </w:r>
      <w:r>
        <w:rPr>
          <w:rFonts w:hint="eastAsia" w:ascii="仿宋" w:hAnsi="仿宋" w:eastAsia="仿宋" w:cs="仿宋"/>
          <w:b w:val="0"/>
          <w:bCs/>
          <w:color w:val="000000" w:themeColor="text1"/>
          <w:sz w:val="28"/>
          <w:szCs w:val="28"/>
          <w:lang w:eastAsia="zh-CN"/>
          <w14:textFill>
            <w14:solidFill>
              <w14:schemeClr w14:val="tx1"/>
            </w14:solidFill>
          </w14:textFill>
        </w:rPr>
        <w:t>将以【化愿景为行动】为主题，旨在探讨此倡议带来的新机遇及香港所担当的独特角色，尤其在金融、物流及航运服务、专业服务、海外投资、基建及国际贸易等方面。除汇聚数十位“一带一路”沿线国家的领袖及来自香港、内地及东盟的国家机构代表和商界翘楚作演讲嘉宾外，活动内容亦包括专题午宴、投资、及商贸分组配对环节，为积极寻找海外投资机会的内地企业与投资项目策划人、环球投资者及专业人士安排面对面洽谈及交流。此外，配对环节将涵盖运输、物资、能源、及资源、城市规划及农村农村发展投资机遇。论坛现场亦设有展览专区，展示相关顾问服务，让与会者更能把握商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lang w:eastAsia="zh-CN"/>
        </w:rPr>
      </w:pPr>
      <w:r>
        <w:rPr>
          <w:rFonts w:hint="eastAsia" w:ascii="微软雅黑" w:hAnsi="微软雅黑" w:eastAsia="微软雅黑" w:cs="微软雅黑"/>
          <w:b/>
          <w:bCs w:val="0"/>
          <w:sz w:val="28"/>
          <w:szCs w:val="28"/>
          <w:lang w:eastAsia="zh-CN"/>
        </w:rPr>
        <w:t>组织架构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60" w:leftChars="0" w:right="0" w:rightChars="0"/>
        <w:jc w:val="left"/>
        <w:textAlignment w:val="auto"/>
        <w:outlineLvl w:val="9"/>
        <w:rPr>
          <w:rFonts w:hint="eastAsia" w:ascii="仿宋" w:hAnsi="仿宋" w:eastAsia="仿宋" w:cs="仿宋"/>
          <w:b w:val="0"/>
          <w:bCs/>
          <w:sz w:val="28"/>
          <w:szCs w:val="28"/>
          <w:lang w:eastAsia="zh-CN"/>
        </w:rPr>
      </w:pPr>
      <w:r>
        <w:rPr>
          <w:rFonts w:hint="eastAsia" w:ascii="微软雅黑" w:hAnsi="微软雅黑" w:eastAsia="微软雅黑" w:cs="微软雅黑"/>
          <w:b/>
          <w:bCs w:val="0"/>
          <w:sz w:val="28"/>
          <w:szCs w:val="28"/>
        </w:rPr>
        <w:t>主办单位</w:t>
      </w:r>
      <w:r>
        <w:rPr>
          <w:rFonts w:hint="eastAsia" w:ascii="微软雅黑" w:hAnsi="微软雅黑" w:eastAsia="微软雅黑" w:cs="微软雅黑"/>
          <w:b/>
          <w:bCs w:val="0"/>
          <w:sz w:val="28"/>
          <w:szCs w:val="28"/>
          <w:lang w:eastAsia="zh-CN"/>
        </w:rPr>
        <w:t>：</w:t>
      </w:r>
      <w:r>
        <w:rPr>
          <w:rFonts w:hint="eastAsia" w:ascii="仿宋" w:hAnsi="仿宋" w:eastAsia="仿宋" w:cs="仿宋"/>
          <w:b w:val="0"/>
          <w:bCs/>
          <w:sz w:val="30"/>
          <w:szCs w:val="30"/>
          <w:lang w:eastAsia="zh-CN"/>
        </w:rPr>
        <w:t>香港特别行政区政府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60" w:leftChars="0" w:right="0" w:rightChars="0"/>
        <w:jc w:val="left"/>
        <w:textAlignment w:val="auto"/>
        <w:outlineLvl w:val="9"/>
        <w:rPr>
          <w:rFonts w:hint="eastAsia" w:ascii="宋体" w:hAnsi="宋体" w:cs="宋体"/>
          <w:sz w:val="32"/>
          <w:szCs w:val="32"/>
          <w:lang w:eastAsia="zh-CN"/>
        </w:rPr>
      </w:pPr>
      <w:r>
        <w:rPr>
          <w:rFonts w:hint="eastAsia" w:ascii="微软雅黑" w:hAnsi="微软雅黑" w:eastAsia="微软雅黑" w:cs="微软雅黑"/>
          <w:b/>
          <w:bCs w:val="0"/>
          <w:sz w:val="28"/>
          <w:szCs w:val="28"/>
          <w:lang w:eastAsia="zh-CN"/>
        </w:rPr>
        <w:t>支持单位：</w:t>
      </w:r>
      <w:r>
        <w:rPr>
          <w:rFonts w:hint="eastAsia" w:ascii="仿宋" w:hAnsi="仿宋" w:eastAsia="仿宋" w:cs="仿宋"/>
          <w:b w:val="0"/>
          <w:bCs/>
          <w:sz w:val="30"/>
          <w:szCs w:val="30"/>
          <w:lang w:eastAsia="zh-CN"/>
        </w:rPr>
        <w:t>外交部</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商务部</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国家发改委</w:t>
      </w:r>
      <w:r>
        <w:rPr>
          <w:rFonts w:hint="eastAsia" w:ascii="仿宋" w:hAnsi="仿宋" w:eastAsia="仿宋" w:cs="仿宋"/>
          <w:b w:val="0"/>
          <w:bCs/>
          <w:sz w:val="30"/>
          <w:szCs w:val="30"/>
          <w:lang w:val="en-US" w:eastAsia="zh-CN"/>
        </w:rPr>
        <w:t xml:space="preserve">  </w:t>
      </w:r>
      <w:r>
        <w:rPr>
          <w:rFonts w:hint="eastAsia" w:ascii="仿宋" w:hAnsi="仿宋" w:eastAsia="仿宋" w:cs="仿宋"/>
          <w:b w:val="0"/>
          <w:bCs/>
          <w:sz w:val="30"/>
          <w:szCs w:val="30"/>
          <w:lang w:eastAsia="zh-CN"/>
        </w:rPr>
        <w:t>中国人民银行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60" w:leftChars="0" w:right="0" w:rightChars="0"/>
        <w:jc w:val="left"/>
        <w:textAlignment w:val="auto"/>
        <w:outlineLvl w:val="9"/>
        <w:rPr>
          <w:rFonts w:hint="eastAsia" w:ascii="仿宋" w:hAnsi="仿宋" w:eastAsia="仿宋" w:cs="仿宋"/>
          <w:b w:val="0"/>
          <w:bCs/>
          <w:sz w:val="30"/>
          <w:szCs w:val="30"/>
          <w:lang w:eastAsia="zh-CN"/>
        </w:rPr>
      </w:pPr>
      <w:r>
        <w:rPr>
          <w:rFonts w:hint="eastAsia" w:ascii="微软雅黑" w:hAnsi="微软雅黑" w:eastAsia="微软雅黑" w:cs="微软雅黑"/>
          <w:b/>
          <w:bCs w:val="0"/>
          <w:sz w:val="28"/>
          <w:szCs w:val="28"/>
          <w:lang w:eastAsia="zh-CN"/>
        </w:rPr>
        <w:t>联办单位：</w:t>
      </w:r>
      <w:r>
        <w:rPr>
          <w:rFonts w:hint="eastAsia" w:ascii="仿宋" w:hAnsi="仿宋" w:eastAsia="仿宋" w:cs="仿宋"/>
          <w:b w:val="0"/>
          <w:bCs/>
          <w:sz w:val="30"/>
          <w:szCs w:val="30"/>
          <w:lang w:eastAsia="zh-CN"/>
        </w:rPr>
        <w:t>香港贸易发展局</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560" w:leftChars="0" w:right="0" w:rightChars="0"/>
        <w:jc w:val="left"/>
        <w:textAlignment w:val="auto"/>
        <w:outlineLvl w:val="9"/>
        <w:rPr>
          <w:rFonts w:hint="eastAsia" w:ascii="仿宋" w:hAnsi="仿宋" w:eastAsia="仿宋" w:cs="仿宋"/>
          <w:b w:val="0"/>
          <w:bCs/>
          <w:sz w:val="30"/>
          <w:szCs w:val="30"/>
          <w:lang w:eastAsia="zh-CN"/>
        </w:rPr>
      </w:pPr>
      <w:r>
        <w:rPr>
          <w:rFonts w:hint="eastAsia" w:ascii="微软雅黑" w:hAnsi="微软雅黑" w:eastAsia="微软雅黑" w:cs="微软雅黑"/>
          <w:b/>
          <w:bCs w:val="0"/>
          <w:sz w:val="28"/>
          <w:szCs w:val="28"/>
          <w:lang w:eastAsia="zh-CN"/>
        </w:rPr>
        <w:t>组团单位：</w:t>
      </w:r>
      <w:r>
        <w:rPr>
          <w:rFonts w:hint="eastAsia" w:ascii="仿宋" w:hAnsi="仿宋" w:eastAsia="仿宋" w:cs="仿宋"/>
          <w:b w:val="0"/>
          <w:bCs/>
          <w:sz w:val="30"/>
          <w:szCs w:val="30"/>
          <w:lang w:eastAsia="zh-CN"/>
        </w:rPr>
        <w:t>重庆一带一路经济技术合作中心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 xml:space="preserve">    二、时间</w:t>
      </w:r>
      <w:r>
        <w:rPr>
          <w:rFonts w:hint="eastAsia" w:ascii="微软雅黑" w:hAnsi="微软雅黑" w:eastAsia="微软雅黑" w:cs="微软雅黑"/>
          <w:b/>
          <w:bCs w:val="0"/>
          <w:sz w:val="28"/>
          <w:szCs w:val="28"/>
          <w:lang w:eastAsia="zh-CN"/>
        </w:rPr>
        <w:t>地点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lang w:val="en-US" w:eastAsia="zh-CN"/>
        </w:rPr>
        <w:t xml:space="preserve">   </w:t>
      </w: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时间：</w:t>
      </w:r>
      <w:r>
        <w:rPr>
          <w:rFonts w:hint="eastAsia" w:ascii="仿宋" w:hAnsi="仿宋" w:eastAsia="仿宋" w:cs="仿宋"/>
          <w:b w:val="0"/>
          <w:bCs/>
          <w:sz w:val="28"/>
          <w:szCs w:val="28"/>
        </w:rPr>
        <w:t>2017年</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9</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13</w:t>
      </w:r>
      <w:r>
        <w:rPr>
          <w:rFonts w:hint="eastAsia" w:ascii="仿宋" w:hAnsi="仿宋" w:eastAsia="仿宋" w:cs="仿宋"/>
          <w:b w:val="0"/>
          <w:bCs/>
          <w:sz w:val="28"/>
          <w:szCs w:val="28"/>
        </w:rPr>
        <w:t>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bCs w:val="0"/>
          <w:sz w:val="28"/>
          <w:szCs w:val="28"/>
        </w:rPr>
        <w:t>地点：</w:t>
      </w:r>
      <w:r>
        <w:rPr>
          <w:rFonts w:hint="eastAsia" w:ascii="仿宋" w:hAnsi="仿宋" w:eastAsia="仿宋" w:cs="仿宋"/>
          <w:b w:val="0"/>
          <w:bCs/>
          <w:sz w:val="28"/>
          <w:szCs w:val="28"/>
          <w:lang w:eastAsia="zh-CN"/>
        </w:rPr>
        <w:t>中国</w:t>
      </w:r>
      <w:r>
        <w:rPr>
          <w:rFonts w:hint="eastAsia" w:ascii="仿宋" w:hAnsi="仿宋" w:eastAsia="仿宋" w:cs="仿宋"/>
          <w:b w:val="0"/>
          <w:bCs/>
          <w:sz w:val="28"/>
          <w:szCs w:val="28"/>
          <w:lang w:val="en-US" w:eastAsia="zh-CN"/>
        </w:rPr>
        <w:t>·</w:t>
      </w:r>
      <w:r>
        <w:rPr>
          <w:rFonts w:hint="eastAsia" w:ascii="仿宋" w:hAnsi="仿宋" w:eastAsia="仿宋" w:cs="仿宋"/>
          <w:b w:val="0"/>
          <w:bCs/>
          <w:sz w:val="28"/>
          <w:szCs w:val="28"/>
          <w:lang w:eastAsia="zh-CN"/>
        </w:rPr>
        <w:t>香港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三、参加人员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rPr>
        <w:t>有关单位、企业负责人及高级管理人员</w:t>
      </w:r>
      <w:r>
        <w:rPr>
          <w:rFonts w:hint="eastAsia" w:ascii="仿宋" w:hAnsi="仿宋" w:eastAsia="仿宋" w:cs="仿宋"/>
          <w:b w:val="0"/>
          <w:bCs/>
          <w:sz w:val="28"/>
          <w:szCs w:val="28"/>
          <w:lang w:eastAsia="zh-CN"/>
        </w:rPr>
        <w:t>（</w:t>
      </w:r>
      <w:r>
        <w:rPr>
          <w:rFonts w:hint="eastAsia" w:ascii="微软雅黑" w:hAnsi="微软雅黑" w:eastAsia="微软雅黑" w:cs="微软雅黑"/>
          <w:b/>
          <w:bCs w:val="0"/>
          <w:sz w:val="28"/>
          <w:szCs w:val="28"/>
          <w:lang w:eastAsia="zh-CN"/>
        </w:rPr>
        <w:t>特别说明：</w:t>
      </w:r>
      <w:r>
        <w:rPr>
          <w:rFonts w:hint="eastAsia" w:ascii="仿宋" w:hAnsi="仿宋" w:eastAsia="仿宋" w:cs="仿宋"/>
          <w:b w:val="0"/>
          <w:bCs/>
          <w:sz w:val="28"/>
          <w:szCs w:val="28"/>
          <w:lang w:eastAsia="zh-CN"/>
        </w:rPr>
        <w:t>名额有限，</w:t>
      </w:r>
      <w:r>
        <w:rPr>
          <w:rFonts w:hint="eastAsia" w:ascii="仿宋" w:hAnsi="仿宋" w:eastAsia="仿宋" w:cs="仿宋"/>
          <w:b w:val="0"/>
          <w:bCs/>
          <w:sz w:val="28"/>
          <w:szCs w:val="28"/>
        </w:rPr>
        <w:t>待政审通过后，具体</w:t>
      </w:r>
      <w:r>
        <w:rPr>
          <w:rFonts w:hint="eastAsia" w:ascii="仿宋" w:hAnsi="仿宋" w:eastAsia="仿宋" w:cs="仿宋"/>
          <w:b w:val="0"/>
          <w:bCs/>
          <w:sz w:val="28"/>
          <w:szCs w:val="28"/>
          <w:lang w:eastAsia="zh-CN"/>
        </w:rPr>
        <w:t>行程及费用标准另行通知）。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敬请</w:t>
      </w:r>
      <w:r>
        <w:rPr>
          <w:rFonts w:hint="eastAsia" w:ascii="仿宋" w:hAnsi="仿宋" w:eastAsia="仿宋" w:cs="仿宋"/>
          <w:b w:val="0"/>
          <w:bCs/>
          <w:sz w:val="28"/>
          <w:szCs w:val="28"/>
          <w:lang w:eastAsia="zh-CN"/>
        </w:rPr>
        <w:t>各级人民政府委办局</w:t>
      </w:r>
      <w:r>
        <w:rPr>
          <w:rFonts w:hint="eastAsia" w:ascii="仿宋" w:hAnsi="仿宋" w:eastAsia="仿宋" w:cs="仿宋"/>
          <w:b w:val="0"/>
          <w:bCs/>
          <w:sz w:val="28"/>
          <w:szCs w:val="28"/>
        </w:rPr>
        <w:t>，有关协会、产业集群、公共服务平台要高度重视，积极推荐企业参加。有关</w:t>
      </w:r>
      <w:r>
        <w:rPr>
          <w:rFonts w:hint="eastAsia" w:ascii="仿宋" w:hAnsi="仿宋" w:eastAsia="仿宋" w:cs="仿宋"/>
          <w:b w:val="0"/>
          <w:bCs/>
          <w:sz w:val="28"/>
          <w:szCs w:val="28"/>
          <w:lang w:eastAsia="zh-CN"/>
        </w:rPr>
        <w:t>协会、</w:t>
      </w:r>
      <w:r>
        <w:rPr>
          <w:rFonts w:hint="eastAsia" w:ascii="仿宋" w:hAnsi="仿宋" w:eastAsia="仿宋" w:cs="仿宋"/>
          <w:b w:val="0"/>
          <w:bCs/>
          <w:sz w:val="28"/>
          <w:szCs w:val="28"/>
        </w:rPr>
        <w:t>企业、服务机构要针对自身的需求积极报名</w:t>
      </w:r>
      <w:r>
        <w:rPr>
          <w:rFonts w:hint="eastAsia" w:ascii="仿宋" w:hAnsi="仿宋" w:eastAsia="仿宋" w:cs="仿宋"/>
          <w:b w:val="0"/>
          <w:bCs/>
          <w:sz w:val="28"/>
          <w:szCs w:val="28"/>
          <w:lang w:eastAsia="zh-CN"/>
        </w:rPr>
        <w:t>出席活动</w:t>
      </w:r>
      <w:r>
        <w:rPr>
          <w:rFonts w:hint="eastAsia" w:ascii="仿宋" w:hAnsi="仿宋" w:eastAsia="仿宋" w:cs="仿宋"/>
          <w:b w:val="0"/>
          <w:bCs/>
          <w:sz w:val="28"/>
          <w:szCs w:val="28"/>
        </w:rPr>
        <w:t>。</w:t>
      </w:r>
    </w:p>
    <w:p>
      <w:pPr>
        <w:numPr>
          <w:ilvl w:val="0"/>
          <w:numId w:val="0"/>
        </w:numPr>
        <w:adjustRightInd w:val="0"/>
        <w:snapToGrid w:val="0"/>
        <w:spacing w:line="560" w:lineRule="exact"/>
        <w:ind w:firstLine="560"/>
        <w:rPr>
          <w:rFonts w:hint="eastAsia" w:ascii="仿宋" w:hAnsi="仿宋" w:eastAsia="仿宋" w:cs="仿宋"/>
          <w:b w:val="0"/>
          <w:bCs/>
          <w:sz w:val="28"/>
          <w:szCs w:val="28"/>
          <w:lang w:eastAsia="zh-CN"/>
        </w:rPr>
      </w:pPr>
      <w:r>
        <w:rPr>
          <w:rFonts w:hint="eastAsia" w:ascii="仿宋" w:hAnsi="仿宋" w:eastAsia="仿宋" w:cs="仿宋"/>
          <w:b w:val="0"/>
          <w:bCs/>
          <w:sz w:val="28"/>
          <w:szCs w:val="28"/>
        </w:rPr>
        <w:t>企业人员可凭本人身份证、户口薄到当地公安部门办理赴港澳通行证。</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lang w:eastAsia="zh-CN"/>
        </w:rPr>
        <w:t>主要内容</w:t>
      </w:r>
    </w:p>
    <w:p>
      <w:pPr>
        <w:numPr>
          <w:ilvl w:val="0"/>
          <w:numId w:val="0"/>
        </w:numPr>
        <w:adjustRightInd w:val="0"/>
        <w:snapToGrid w:val="0"/>
        <w:spacing w:line="560" w:lineRule="exact"/>
        <w:ind w:firstLine="560"/>
        <w:rPr>
          <w:rFonts w:hint="eastAsia" w:ascii="仿宋" w:hAnsi="仿宋" w:eastAsia="仿宋" w:cs="仿宋"/>
          <w:b w:val="0"/>
          <w:bCs/>
          <w:kern w:val="2"/>
          <w:sz w:val="28"/>
          <w:szCs w:val="28"/>
          <w:lang w:val="en-US" w:eastAsia="zh-CN" w:bidi="ar-SA"/>
        </w:rPr>
      </w:pPr>
      <w:r>
        <w:rPr>
          <w:rFonts w:hint="eastAsia" w:ascii="仿宋" w:hAnsi="仿宋" w:eastAsia="仿宋" w:cs="仿宋"/>
          <w:b/>
          <w:bCs w:val="0"/>
          <w:kern w:val="2"/>
          <w:sz w:val="28"/>
          <w:szCs w:val="28"/>
          <w:lang w:val="en-US" w:eastAsia="zh-CN" w:bidi="ar-SA"/>
        </w:rPr>
        <w:t>主要内容包括：</w:t>
      </w:r>
      <w:r>
        <w:rPr>
          <w:rFonts w:hint="eastAsia" w:ascii="仿宋" w:hAnsi="仿宋" w:eastAsia="仿宋" w:cs="仿宋"/>
          <w:b w:val="0"/>
          <w:bCs/>
          <w:kern w:val="2"/>
          <w:sz w:val="28"/>
          <w:szCs w:val="28"/>
          <w:lang w:val="en-US" w:eastAsia="zh-CN" w:bidi="ar-SA"/>
        </w:rPr>
        <w:t>国际市场推广展、商贸配对洽谈、中小企业商贸解决方案、特许经营、创新科技及设计、商务顾问服务等。旨在通过“一带一路”高峰论坛和专题研讨会及商贸联系活动，提供一站式国际商贸平台，帮助企业把握最新市场趋势和商机，开拓中国内销及“一带一路”海外市场，扩展行业及国际商贸资源，同时提供法律、会计、物流、金融、财务、投资顾问、政府和商会等支持服务及商务解决方案，帮助企业提升竞争力。</w:t>
      </w:r>
    </w:p>
    <w:p>
      <w:pPr>
        <w:numPr>
          <w:ilvl w:val="0"/>
          <w:numId w:val="0"/>
        </w:numPr>
        <w:adjustRightInd w:val="0"/>
        <w:snapToGrid w:val="0"/>
        <w:spacing w:line="560" w:lineRule="exact"/>
        <w:ind w:firstLine="560"/>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论坛期间，举办以金融、品牌、知识产权、设计及创新等为主题的相关活动。</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lang w:eastAsia="zh-CN"/>
        </w:rPr>
        <w:t>行程</w:t>
      </w:r>
      <w:r>
        <w:rPr>
          <w:rFonts w:hint="eastAsia" w:ascii="微软雅黑" w:hAnsi="微软雅黑" w:eastAsia="微软雅黑" w:cs="微软雅黑"/>
          <w:b/>
          <w:bCs w:val="0"/>
          <w:sz w:val="28"/>
          <w:szCs w:val="28"/>
        </w:rPr>
        <w:t>费用</w:t>
      </w:r>
    </w:p>
    <w:p>
      <w:pPr>
        <w:numPr>
          <w:ilvl w:val="0"/>
          <w:numId w:val="0"/>
        </w:numPr>
        <w:adjustRightInd w:val="0"/>
        <w:snapToGrid w:val="0"/>
        <w:spacing w:line="560" w:lineRule="exact"/>
        <w:ind w:firstLine="560"/>
        <w:rPr>
          <w:rFonts w:hint="eastAsia" w:ascii="仿宋" w:hAnsi="仿宋" w:eastAsia="仿宋" w:cs="仿宋"/>
          <w:b w:val="0"/>
          <w:bCs/>
          <w:sz w:val="28"/>
          <w:szCs w:val="28"/>
        </w:rPr>
      </w:pPr>
      <w:r>
        <w:rPr>
          <w:rFonts w:hint="eastAsia" w:ascii="仿宋" w:hAnsi="仿宋" w:eastAsia="仿宋" w:cs="仿宋"/>
          <w:b w:val="0"/>
          <w:bCs/>
          <w:sz w:val="28"/>
          <w:szCs w:val="28"/>
        </w:rPr>
        <w:t>具体行程</w:t>
      </w:r>
      <w:r>
        <w:rPr>
          <w:rFonts w:hint="eastAsia" w:ascii="仿宋" w:hAnsi="仿宋" w:eastAsia="仿宋" w:cs="仿宋"/>
          <w:b w:val="0"/>
          <w:bCs/>
          <w:sz w:val="28"/>
          <w:szCs w:val="28"/>
          <w:lang w:eastAsia="zh-CN"/>
        </w:rPr>
        <w:t>安排</w:t>
      </w:r>
      <w:r>
        <w:rPr>
          <w:rFonts w:hint="eastAsia" w:ascii="仿宋" w:hAnsi="仿宋" w:eastAsia="仿宋" w:cs="仿宋"/>
          <w:b w:val="0"/>
          <w:bCs/>
          <w:sz w:val="28"/>
          <w:szCs w:val="28"/>
        </w:rPr>
        <w:t>和费用标准</w:t>
      </w:r>
      <w:r>
        <w:rPr>
          <w:rFonts w:hint="eastAsia" w:ascii="仿宋" w:hAnsi="仿宋" w:eastAsia="仿宋" w:cs="仿宋"/>
          <w:b w:val="0"/>
          <w:bCs/>
          <w:sz w:val="28"/>
          <w:szCs w:val="28"/>
          <w:lang w:eastAsia="zh-CN"/>
        </w:rPr>
        <w:t>，另行定向</w:t>
      </w:r>
      <w:r>
        <w:rPr>
          <w:rFonts w:hint="eastAsia" w:ascii="仿宋" w:hAnsi="仿宋" w:eastAsia="仿宋" w:cs="仿宋"/>
          <w:b w:val="0"/>
          <w:bCs/>
          <w:sz w:val="28"/>
          <w:szCs w:val="28"/>
        </w:rPr>
        <w:t>通知。</w:t>
      </w:r>
    </w:p>
    <w:p>
      <w:pPr>
        <w:numPr>
          <w:ilvl w:val="0"/>
          <w:numId w:val="0"/>
        </w:numPr>
        <w:adjustRightInd w:val="0"/>
        <w:snapToGrid w:val="0"/>
        <w:spacing w:line="560" w:lineRule="exact"/>
        <w:ind w:firstLine="560"/>
        <w:rPr>
          <w:rFonts w:hint="eastAsia" w:ascii="微软雅黑" w:hAnsi="微软雅黑" w:eastAsia="微软雅黑" w:cs="微软雅黑"/>
          <w:b/>
          <w:bCs w:val="0"/>
          <w:sz w:val="28"/>
          <w:szCs w:val="28"/>
        </w:rPr>
      </w:pPr>
      <w:r>
        <w:rPr>
          <w:rFonts w:hint="eastAsia" w:ascii="微软雅黑" w:hAnsi="微软雅黑" w:eastAsia="微软雅黑" w:cs="微软雅黑"/>
          <w:b/>
          <w:bCs w:val="0"/>
          <w:sz w:val="28"/>
          <w:szCs w:val="28"/>
        </w:rPr>
        <w:t>六、报名方式：</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rPr>
        <w:t>报名地址：重庆市级机关综合办公大楼15楼</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渝中区人民路252号</w:t>
      </w:r>
      <w:r>
        <w:rPr>
          <w:rFonts w:hint="eastAsia" w:ascii="仿宋" w:hAnsi="仿宋" w:eastAsia="仿宋" w:cs="仿宋"/>
          <w:b w:val="0"/>
          <w:bCs/>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rPr>
        <w:t>报名电话：023-63895861</w:t>
      </w:r>
      <w:r>
        <w:rPr>
          <w:rFonts w:hint="eastAsia" w:ascii="仿宋" w:hAnsi="仿宋" w:eastAsia="仿宋" w:cs="仿宋"/>
          <w:b w:val="0"/>
          <w:bCs/>
          <w:sz w:val="28"/>
          <w:szCs w:val="28"/>
          <w:lang w:val="en-US" w:eastAsia="zh-CN"/>
        </w:rPr>
        <w:t xml:space="preserve">   63897136</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left"/>
        <w:textAlignment w:val="auto"/>
        <w:outlineLvl w:val="9"/>
        <w:rPr>
          <w:rFonts w:hint="eastAsia" w:ascii="仿宋" w:hAnsi="仿宋" w:eastAsia="仿宋" w:cs="仿宋"/>
          <w:b/>
          <w:bCs w:val="0"/>
          <w:color w:val="0000FF"/>
          <w:sz w:val="28"/>
          <w:szCs w:val="28"/>
        </w:rPr>
      </w:pP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报名邮箱：</w:t>
      </w:r>
      <w:r>
        <w:rPr>
          <w:rFonts w:hint="eastAsia" w:ascii="仿宋" w:hAnsi="仿宋" w:eastAsia="仿宋" w:cs="仿宋"/>
          <w:b/>
          <w:bCs w:val="0"/>
          <w:color w:val="0000FF"/>
          <w:sz w:val="28"/>
          <w:szCs w:val="28"/>
        </w:rPr>
        <w:t>3164983053@qq.com</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bCs w:val="0"/>
          <w:color w:val="0000FF"/>
          <w:sz w:val="28"/>
          <w:szCs w:val="28"/>
        </w:rPr>
      </w:pPr>
      <w:r>
        <w:rPr>
          <w:rFonts w:hint="eastAsia" w:ascii="仿宋" w:hAnsi="仿宋" w:eastAsia="仿宋" w:cs="仿宋"/>
          <w:b w:val="0"/>
          <w:bCs/>
          <w:sz w:val="28"/>
          <w:szCs w:val="28"/>
        </w:rPr>
        <w:t>一带一路门户网：</w:t>
      </w:r>
      <w:r>
        <w:rPr>
          <w:rFonts w:hint="eastAsia" w:ascii="仿宋" w:hAnsi="仿宋" w:eastAsia="仿宋" w:cs="仿宋"/>
          <w:b/>
          <w:bCs w:val="0"/>
          <w:color w:val="0000FF"/>
          <w:sz w:val="28"/>
          <w:szCs w:val="28"/>
        </w:rPr>
        <w:fldChar w:fldCharType="begin"/>
      </w:r>
      <w:r>
        <w:rPr>
          <w:rFonts w:hint="eastAsia" w:ascii="仿宋" w:hAnsi="仿宋" w:eastAsia="仿宋" w:cs="仿宋"/>
          <w:b/>
          <w:bCs w:val="0"/>
          <w:color w:val="0000FF"/>
          <w:sz w:val="28"/>
          <w:szCs w:val="28"/>
        </w:rPr>
        <w:instrText xml:space="preserve"> HYPERLINK "http://www.attbr.com" </w:instrText>
      </w:r>
      <w:r>
        <w:rPr>
          <w:rFonts w:hint="eastAsia" w:ascii="仿宋" w:hAnsi="仿宋" w:eastAsia="仿宋" w:cs="仿宋"/>
          <w:b/>
          <w:bCs w:val="0"/>
          <w:color w:val="0000FF"/>
          <w:sz w:val="28"/>
          <w:szCs w:val="28"/>
        </w:rPr>
        <w:fldChar w:fldCharType="separate"/>
      </w:r>
      <w:r>
        <w:rPr>
          <w:rStyle w:val="13"/>
          <w:rFonts w:hint="eastAsia" w:ascii="仿宋" w:hAnsi="仿宋" w:eastAsia="仿宋" w:cs="仿宋"/>
          <w:b/>
          <w:bCs w:val="0"/>
          <w:color w:val="0000FF"/>
          <w:sz w:val="28"/>
          <w:szCs w:val="28"/>
        </w:rPr>
        <w:t>www.attbr.com</w:t>
      </w:r>
      <w:r>
        <w:rPr>
          <w:rFonts w:hint="eastAsia" w:ascii="仿宋" w:hAnsi="仿宋" w:eastAsia="仿宋" w:cs="仿宋"/>
          <w:b/>
          <w:bCs w:val="0"/>
          <w:color w:val="0000FF"/>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bCs w:val="0"/>
          <w:color w:val="0000FF"/>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bCs w:val="0"/>
          <w:color w:val="0000FF"/>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附：</w:t>
      </w:r>
    </w:p>
    <w:p>
      <w:pPr>
        <w:keepNext w:val="0"/>
        <w:keepLines w:val="0"/>
        <w:pageBreakBefore w:val="0"/>
        <w:widowControl w:val="0"/>
        <w:kinsoku/>
        <w:wordWrap/>
        <w:overflowPunct/>
        <w:topLinePunct w:val="0"/>
        <w:autoSpaceDE/>
        <w:autoSpaceDN/>
        <w:bidi w:val="0"/>
        <w:adjustRightInd w:val="0"/>
        <w:snapToGrid w:val="0"/>
        <w:spacing w:line="400" w:lineRule="exact"/>
        <w:ind w:right="0" w:rightChars="0"/>
        <w:jc w:val="both"/>
        <w:textAlignment w:val="auto"/>
        <w:outlineLvl w:val="9"/>
        <w:rPr>
          <w:rFonts w:hint="eastAsia" w:ascii="仿宋" w:hAnsi="仿宋" w:eastAsia="仿宋" w:cs="仿宋"/>
          <w:b w:val="0"/>
          <w:bCs/>
          <w:sz w:val="28"/>
          <w:szCs w:val="28"/>
          <w:lang w:eastAsia="zh-CN"/>
        </w:rPr>
      </w:pPr>
      <w:r>
        <w:rPr>
          <w:rFonts w:hint="eastAsia" w:ascii="仿宋" w:hAnsi="仿宋" w:eastAsia="仿宋" w:cs="仿宋"/>
          <w:b w:val="0"/>
          <w:bCs/>
          <w:sz w:val="28"/>
          <w:szCs w:val="28"/>
          <w:lang w:val="en-US" w:eastAsia="zh-CN"/>
        </w:rPr>
        <w:t>第二届</w:t>
      </w:r>
      <w:r>
        <w:rPr>
          <w:rFonts w:hint="eastAsia" w:ascii="仿宋" w:hAnsi="仿宋" w:eastAsia="仿宋" w:cs="仿宋"/>
          <w:b w:val="0"/>
          <w:bCs/>
          <w:sz w:val="28"/>
          <w:szCs w:val="28"/>
          <w:lang w:eastAsia="zh-CN"/>
        </w:rPr>
        <w:t>“一带一路”高峰论坛暨中小企业项目对接活动参团人员回执表</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jc w:val="left"/>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w:t>
      </w:r>
    </w:p>
    <w:p>
      <w:pPr>
        <w:adjustRightInd w:val="0"/>
        <w:snapToGrid w:val="0"/>
        <w:spacing w:line="36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重庆</w:t>
      </w:r>
      <w:r>
        <w:rPr>
          <w:rFonts w:hint="eastAsia" w:ascii="微软雅黑" w:hAnsi="微软雅黑" w:eastAsia="微软雅黑" w:cs="微软雅黑"/>
          <w:b/>
          <w:bCs/>
          <w:sz w:val="28"/>
          <w:szCs w:val="28"/>
        </w:rPr>
        <w:t>一带一路经济技术合作中心</w:t>
      </w:r>
      <w:r>
        <w:rPr>
          <w:rFonts w:hint="eastAsia" w:ascii="微软雅黑" w:hAnsi="微软雅黑" w:eastAsia="微软雅黑" w:cs="微软雅黑"/>
          <w:b/>
          <w:bCs/>
          <w:sz w:val="28"/>
          <w:szCs w:val="28"/>
          <w:lang w:eastAsia="zh-CN"/>
        </w:rPr>
        <w:t>有限公司</w:t>
      </w:r>
    </w:p>
    <w:p>
      <w:pPr>
        <w:adjustRightInd w:val="0"/>
        <w:snapToGrid w:val="0"/>
        <w:spacing w:line="36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二〇一七年六月十八日</w:t>
      </w:r>
    </w:p>
    <w:p>
      <w:pPr>
        <w:adjustRightInd w:val="0"/>
        <w:snapToGrid w:val="0"/>
        <w:spacing w:line="360" w:lineRule="auto"/>
        <w:jc w:val="left"/>
        <w:rPr>
          <w:rFonts w:hint="eastAsia" w:ascii="微软雅黑" w:hAnsi="微软雅黑" w:eastAsia="微软雅黑" w:cs="微软雅黑"/>
          <w:b/>
          <w:bCs/>
          <w:sz w:val="28"/>
          <w:szCs w:val="28"/>
          <w:lang w:eastAsia="zh-CN"/>
        </w:rPr>
      </w:pPr>
    </w:p>
    <w:p>
      <w:pPr>
        <w:adjustRightInd w:val="0"/>
        <w:snapToGrid w:val="0"/>
        <w:spacing w:line="360" w:lineRule="auto"/>
        <w:jc w:val="left"/>
        <w:rPr>
          <w:rFonts w:hint="eastAsia" w:ascii="微软雅黑" w:hAnsi="微软雅黑" w:eastAsia="微软雅黑" w:cs="微软雅黑"/>
          <w:b/>
          <w:bCs/>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val="en-US" w:eastAsia="zh-CN"/>
        </w:rPr>
        <w:t>第二届</w:t>
      </w:r>
      <w:r>
        <w:rPr>
          <w:rFonts w:hint="eastAsia" w:asciiTheme="minorEastAsia" w:hAnsiTheme="minorEastAsia" w:eastAsiaTheme="minorEastAsia" w:cstheme="minorEastAsia"/>
          <w:b w:val="0"/>
          <w:bCs/>
          <w:sz w:val="28"/>
          <w:szCs w:val="28"/>
        </w:rPr>
        <w:t>“一带一路”</w:t>
      </w:r>
      <w:r>
        <w:rPr>
          <w:rFonts w:hint="eastAsia" w:asciiTheme="minorEastAsia" w:hAnsiTheme="minorEastAsia" w:eastAsiaTheme="minorEastAsia" w:cstheme="minorEastAsia"/>
          <w:b w:val="0"/>
          <w:bCs/>
          <w:sz w:val="28"/>
          <w:szCs w:val="28"/>
          <w:lang w:eastAsia="zh-CN"/>
        </w:rPr>
        <w:t>高峰论坛暨中小企业项目对接活动</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val="0"/>
          <w:bCs/>
          <w:sz w:val="28"/>
          <w:szCs w:val="28"/>
          <w:lang w:eastAsia="zh-CN"/>
        </w:rPr>
        <w:t>参团人员回执表</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b/>
          <w:color w:val="000000"/>
          <w:sz w:val="32"/>
          <w:szCs w:val="32"/>
        </w:rPr>
      </w:pPr>
    </w:p>
    <w:tbl>
      <w:tblPr>
        <w:tblStyle w:val="14"/>
        <w:tblW w:w="8911" w:type="dxa"/>
        <w:tblInd w:w="-11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7"/>
        <w:gridCol w:w="1936"/>
        <w:gridCol w:w="282"/>
        <w:gridCol w:w="1110"/>
        <w:gridCol w:w="768"/>
        <w:gridCol w:w="656"/>
        <w:gridCol w:w="74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企业</w:t>
            </w:r>
            <w:r>
              <w:rPr>
                <w:rFonts w:hint="eastAsia" w:ascii="宋体" w:hAnsi="宋体"/>
                <w:sz w:val="24"/>
                <w:lang w:eastAsia="zh-CN"/>
              </w:rPr>
              <w:t>全</w:t>
            </w:r>
            <w:r>
              <w:rPr>
                <w:rFonts w:hint="eastAsia" w:ascii="宋体" w:hAnsi="宋体"/>
                <w:sz w:val="24"/>
              </w:rPr>
              <w:t>称</w:t>
            </w: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中文：</w:t>
            </w:r>
            <w:r>
              <w:rPr>
                <w:rFonts w:hint="eastAsia" w:ascii="宋体" w:hAnsi="宋体"/>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sz w:val="24"/>
              </w:rPr>
            </w:pP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参加人员姓名</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spacing w:val="-16"/>
                <w:kern w:val="0"/>
                <w:sz w:val="24"/>
              </w:rPr>
            </w:pPr>
            <w:r>
              <w:rPr>
                <w:rFonts w:hint="eastAsia" w:ascii="宋体" w:hAnsi="宋体"/>
                <w:spacing w:val="-16"/>
                <w:kern w:val="0"/>
                <w:sz w:val="24"/>
              </w:rPr>
              <w:t>性     别</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r>
              <w:rPr>
                <w:rFonts w:hint="eastAsia" w:ascii="宋体" w:hAnsi="宋体"/>
                <w:kern w:val="0"/>
                <w:sz w:val="24"/>
              </w:rPr>
              <w:t>职务</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固定电话</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textAlignment w:val="auto"/>
              <w:outlineLvl w:val="9"/>
              <w:rPr>
                <w:rFonts w:ascii="宋体" w:hAnsi="宋体"/>
                <w:kern w:val="0"/>
                <w:sz w:val="24"/>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微信号码</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r>
              <w:rPr>
                <w:rFonts w:hint="eastAsia" w:ascii="宋体" w:hAnsi="宋体"/>
                <w:sz w:val="24"/>
              </w:rPr>
              <w:t>邮编</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 xml:space="preserve">手  </w:t>
            </w:r>
            <w:r>
              <w:rPr>
                <w:rFonts w:hint="eastAsia" w:ascii="宋体" w:hAnsi="宋体"/>
                <w:sz w:val="24"/>
                <w:lang w:val="en-US" w:eastAsia="zh-CN"/>
              </w:rPr>
              <w:t xml:space="preserve"> </w:t>
            </w:r>
            <w:r>
              <w:rPr>
                <w:rFonts w:hint="eastAsia" w:ascii="宋体" w:hAnsi="宋体"/>
                <w:sz w:val="24"/>
              </w:rPr>
              <w:t xml:space="preserve"> 机</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p>
        </w:tc>
        <w:tc>
          <w:tcPr>
            <w:tcW w:w="13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kern w:val="0"/>
                <w:sz w:val="24"/>
              </w:rPr>
            </w:pPr>
            <w:r>
              <w:rPr>
                <w:rFonts w:hint="eastAsia" w:ascii="宋体" w:hAnsi="宋体"/>
                <w:sz w:val="24"/>
              </w:rPr>
              <w:t>电子邮件</w:t>
            </w:r>
          </w:p>
        </w:tc>
        <w:tc>
          <w:tcPr>
            <w:tcW w:w="351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left"/>
              <w:textAlignment w:val="auto"/>
              <w:outlineLvl w:val="9"/>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 xml:space="preserve">地 </w:t>
            </w:r>
            <w:r>
              <w:rPr>
                <w:rFonts w:hint="eastAsia" w:ascii="宋体" w:hAnsi="宋体"/>
                <w:sz w:val="24"/>
                <w:lang w:val="en-US" w:eastAsia="zh-CN"/>
              </w:rPr>
              <w:t xml:space="preserve">  </w:t>
            </w:r>
            <w:r>
              <w:rPr>
                <w:rFonts w:hint="eastAsia" w:ascii="宋体" w:hAnsi="宋体"/>
                <w:sz w:val="24"/>
              </w:rPr>
              <w:t xml:space="preserve"> 址</w:t>
            </w: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 xml:space="preserve">中文：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outlineLvl w:val="9"/>
              <w:rPr>
                <w:rFonts w:ascii="宋体" w:hAnsi="宋体"/>
                <w:sz w:val="24"/>
              </w:rPr>
            </w:pPr>
          </w:p>
        </w:tc>
        <w:tc>
          <w:tcPr>
            <w:tcW w:w="68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英文：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身份证号码</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港澳通行证号码</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及有效期</w:t>
            </w:r>
          </w:p>
        </w:tc>
        <w:tc>
          <w:tcPr>
            <w:tcW w:w="27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left="240" w:leftChars="57" w:right="0" w:rightChars="0" w:hanging="120" w:hangingChars="50"/>
              <w:jc w:val="center"/>
              <w:textAlignment w:val="auto"/>
              <w:outlineLvl w:val="9"/>
              <w:rPr>
                <w:rFonts w:ascii="宋体" w:hAnsi="宋体"/>
                <w:sz w:val="24"/>
              </w:rPr>
            </w:pPr>
            <w:r>
              <w:rPr>
                <w:rFonts w:hint="eastAsia" w:ascii="宋体" w:hAnsi="宋体"/>
                <w:sz w:val="24"/>
              </w:rPr>
              <w:t>标准间数量</w:t>
            </w:r>
          </w:p>
        </w:tc>
        <w:tc>
          <w:tcPr>
            <w:tcW w:w="19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单间数量</w:t>
            </w:r>
          </w:p>
        </w:tc>
        <w:tc>
          <w:tcPr>
            <w:tcW w:w="2748" w:type="dxa"/>
            <w:gridSpan w:val="3"/>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rPr>
            </w:pPr>
            <w:r>
              <w:rPr>
                <w:rFonts w:hint="eastAsia" w:ascii="宋体" w:hAnsi="宋体"/>
                <w:sz w:val="24"/>
                <w:lang w:eastAsia="zh-CN"/>
              </w:rPr>
              <w:t>单位</w:t>
            </w:r>
            <w:r>
              <w:rPr>
                <w:rFonts w:hint="eastAsia" w:ascii="宋体" w:hAnsi="宋体"/>
                <w:sz w:val="24"/>
              </w:rPr>
              <w:t>介绍</w:t>
            </w:r>
          </w:p>
        </w:tc>
        <w:tc>
          <w:tcPr>
            <w:tcW w:w="6844"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包含联系方式等，控制在300字以内，可另附页</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20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lang w:eastAsia="zh-CN"/>
              </w:rPr>
            </w:pPr>
            <w:r>
              <w:rPr>
                <w:rFonts w:hint="eastAsia" w:ascii="宋体" w:hAnsi="宋体"/>
                <w:sz w:val="24"/>
                <w:lang w:eastAsia="zh-CN"/>
              </w:rPr>
              <w:t>拟</w:t>
            </w:r>
            <w:r>
              <w:rPr>
                <w:rFonts w:hint="eastAsia" w:ascii="宋体" w:hAnsi="宋体"/>
                <w:sz w:val="24"/>
              </w:rPr>
              <w:t>寻求</w:t>
            </w:r>
            <w:r>
              <w:rPr>
                <w:rFonts w:hint="eastAsia" w:ascii="宋体" w:hAnsi="宋体"/>
                <w:sz w:val="24"/>
                <w:lang w:eastAsia="zh-CN"/>
              </w:rPr>
              <w:t>的</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rPr>
            </w:pPr>
            <w:r>
              <w:rPr>
                <w:rFonts w:hint="eastAsia" w:ascii="宋体" w:hAnsi="宋体"/>
                <w:sz w:val="24"/>
              </w:rPr>
              <w:t>合作</w:t>
            </w:r>
            <w:r>
              <w:rPr>
                <w:rFonts w:hint="eastAsia" w:ascii="宋体" w:hAnsi="宋体"/>
                <w:sz w:val="24"/>
                <w:lang w:eastAsia="zh-CN"/>
              </w:rPr>
              <w:t>方向及意愿</w:t>
            </w:r>
          </w:p>
        </w:tc>
        <w:tc>
          <w:tcPr>
            <w:tcW w:w="6844" w:type="dxa"/>
            <w:gridSpan w:val="7"/>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outlineLvl w:val="9"/>
              <w:rPr>
                <w:rFonts w:hint="eastAsia" w:ascii="宋体" w:hAnsi="宋体"/>
                <w:sz w:val="24"/>
                <w:lang w:eastAsia="zh-CN"/>
              </w:rPr>
            </w:pPr>
            <w:r>
              <w:rPr>
                <w:rFonts w:hint="eastAsia" w:ascii="宋体" w:hAnsi="宋体"/>
                <w:sz w:val="24"/>
                <w:lang w:val="en-US" w:eastAsia="zh-CN"/>
              </w:rPr>
              <w:t>（请详细描述，可另附页）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067"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宋体" w:hAnsi="宋体"/>
                <w:sz w:val="24"/>
              </w:rPr>
            </w:pPr>
            <w:r>
              <w:rPr>
                <w:rFonts w:hint="eastAsia" w:ascii="宋体" w:hAnsi="宋体"/>
                <w:sz w:val="24"/>
              </w:rPr>
              <w:t>单位意见</w:t>
            </w:r>
          </w:p>
        </w:tc>
        <w:tc>
          <w:tcPr>
            <w:tcW w:w="221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负责人签字</w:t>
            </w:r>
          </w:p>
        </w:tc>
        <w:tc>
          <w:tcPr>
            <w:tcW w:w="4626"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firstLine="480" w:firstLineChars="200"/>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06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c>
          <w:tcPr>
            <w:tcW w:w="2218"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单位盖章</w:t>
            </w:r>
          </w:p>
        </w:tc>
        <w:tc>
          <w:tcPr>
            <w:tcW w:w="4626"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firstLine="480" w:firstLineChars="200"/>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trPr>
        <w:tc>
          <w:tcPr>
            <w:tcW w:w="2067"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p>
        </w:tc>
        <w:tc>
          <w:tcPr>
            <w:tcW w:w="2218" w:type="dxa"/>
            <w:gridSpan w:val="2"/>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宋体" w:hAnsi="宋体"/>
                <w:sz w:val="24"/>
              </w:rPr>
            </w:pPr>
            <w:r>
              <w:rPr>
                <w:rFonts w:hint="eastAsia" w:ascii="宋体" w:hAnsi="宋体"/>
                <w:sz w:val="24"/>
              </w:rPr>
              <w:t>日   期</w:t>
            </w:r>
          </w:p>
        </w:tc>
        <w:tc>
          <w:tcPr>
            <w:tcW w:w="4626" w:type="dxa"/>
            <w:gridSpan w:val="5"/>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600" w:lineRule="exact"/>
              <w:ind w:right="0" w:rightChars="0" w:firstLine="480" w:firstLineChars="200"/>
              <w:textAlignment w:val="auto"/>
              <w:outlineLvl w:val="9"/>
              <w:rPr>
                <w:rFonts w:ascii="宋体" w:hAnsi="宋体"/>
                <w:sz w:val="24"/>
              </w:rPr>
            </w:pPr>
            <w:r>
              <w:rPr>
                <w:rFonts w:hint="eastAsia" w:ascii="宋体" w:hAnsi="宋体"/>
                <w:sz w:val="24"/>
              </w:rPr>
              <w:t>201</w:t>
            </w:r>
            <w:r>
              <w:rPr>
                <w:rFonts w:hint="eastAsia" w:ascii="宋体" w:hAnsi="宋体"/>
                <w:sz w:val="24"/>
                <w:lang w:val="en-US" w:eastAsia="zh-CN"/>
              </w:rPr>
              <w:t>7</w:t>
            </w:r>
            <w:r>
              <w:rPr>
                <w:rFonts w:hint="eastAsia" w:ascii="宋体" w:hAnsi="宋体"/>
                <w:sz w:val="24"/>
              </w:rPr>
              <w:t>年      月      日</w:t>
            </w:r>
          </w:p>
        </w:tc>
      </w:tr>
    </w:tbl>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｢一带一路｣ 倡议是一个划时代、富有远见的长期合作计划。它以共建 ｢一带一路｣ 为契机，推动沿线横跨 60 多个国家与地区的经济发展、贸易往来及人文交流，覆盖的区域源包括东南亚、南亚、中西亚、中东地区及欧洲。｢一带一路｣倡议释放沿线国家巨大的经济发展潜力，尤其是中国内地及东盟国家的潜在机遇，为企业带来全新商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560" w:firstLineChars="0"/>
        <w:jc w:val="left"/>
        <w:textAlignment w:val="auto"/>
        <w:outlineLvl w:val="9"/>
        <w:rPr>
          <w:rFonts w:hint="eastAsia" w:ascii="仿宋" w:hAnsi="仿宋" w:eastAsia="仿宋" w:cs="仿宋"/>
          <w:b w:val="0"/>
          <w:bCs/>
          <w:sz w:val="28"/>
          <w:szCs w:val="28"/>
        </w:rPr>
      </w:pPr>
    </w:p>
    <w:p>
      <w:pPr>
        <w:pStyle w:val="2"/>
        <w:keepNext w:val="0"/>
        <w:keepLines w:val="0"/>
        <w:widowControl/>
        <w:suppressLineNumbers w:val="0"/>
        <w:shd w:val="clear" w:fill="FFFFFF"/>
        <w:spacing w:before="0" w:beforeAutospacing="0" w:after="141" w:afterAutospacing="0" w:line="17" w:lineRule="atLeast"/>
        <w:ind w:left="0" w:right="0" w:firstLine="0"/>
        <w:jc w:val="left"/>
        <w:rPr>
          <w:rFonts w:hint="eastAsia" w:ascii="微软雅黑" w:hAnsi="微软雅黑" w:eastAsia="微软雅黑" w:cs="微软雅黑"/>
          <w:i w:val="0"/>
          <w:caps/>
          <w:color w:val="0000FF"/>
          <w:spacing w:val="0"/>
          <w:sz w:val="48"/>
          <w:szCs w:val="48"/>
        </w:rPr>
      </w:pPr>
      <w:r>
        <w:rPr>
          <w:rFonts w:hint="eastAsia" w:ascii="微软雅黑" w:hAnsi="微软雅黑" w:eastAsia="微软雅黑" w:cs="微软雅黑"/>
          <w:i w:val="0"/>
          <w:caps/>
          <w:color w:val="0000FF"/>
          <w:spacing w:val="0"/>
          <w:sz w:val="48"/>
          <w:szCs w:val="48"/>
          <w:shd w:val="clear" w:fill="FFFFFF"/>
        </w:rPr>
        <w:t>与会人士</w:t>
      </w:r>
    </w:p>
    <w:p>
      <w:pPr>
        <w:keepNext w:val="0"/>
        <w:keepLines w:val="0"/>
        <w:widowControl/>
        <w:suppressLineNumbers w:val="0"/>
        <w:shd w:val="clear" w:fill="FFFFFF"/>
        <w:spacing w:line="300" w:lineRule="atLeast"/>
        <w:ind w:left="0" w:firstLine="0"/>
        <w:jc w:val="center"/>
        <w:rPr>
          <w:rFonts w:hint="eastAsia" w:asciiTheme="minorEastAsia" w:hAnsiTheme="minorEastAsia" w:eastAsiaTheme="minorEastAsia" w:cstheme="minorEastAsia"/>
          <w:b w:val="0"/>
          <w:i w:val="0"/>
          <w:caps w:val="0"/>
          <w:color w:val="333333"/>
          <w:spacing w:val="0"/>
          <w:sz w:val="21"/>
          <w:szCs w:val="21"/>
        </w:rPr>
      </w:pP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fldChar w:fldCharType="begin"/>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instrText xml:space="preserve">INCLUDEPICTURE \d "http://www.beltandroadsummit.hk/2016/img/participants/who-should-participate/chart_sc.jpg" \* MERGEFORMATINET </w:instrText>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fldChar w:fldCharType="separate"/>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drawing>
          <wp:inline distT="0" distB="0" distL="114300" distR="114300">
            <wp:extent cx="2857500" cy="2857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857500" cy="2857500"/>
                    </a:xfrm>
                    <a:prstGeom prst="rect">
                      <a:avLst/>
                    </a:prstGeom>
                    <a:noFill/>
                    <a:ln w="9525">
                      <a:noFill/>
                    </a:ln>
                  </pic:spPr>
                </pic:pic>
              </a:graphicData>
            </a:graphic>
          </wp:inline>
        </w:drawing>
      </w:r>
      <w:r>
        <w:rPr>
          <w:rFonts w:hint="eastAsia" w:asciiTheme="minorEastAsia" w:hAnsiTheme="minorEastAsia" w:eastAsiaTheme="minorEastAsia" w:cstheme="minorEastAsia"/>
          <w:b w:val="0"/>
          <w:i w:val="0"/>
          <w:caps w:val="0"/>
          <w:color w:val="333333"/>
          <w:spacing w:val="0"/>
          <w:kern w:val="0"/>
          <w:sz w:val="21"/>
          <w:szCs w:val="21"/>
          <w:shd w:val="clear" w:fill="FFFFFF"/>
          <w:lang w:val="en-US" w:eastAsia="zh-CN" w:bidi="ar"/>
        </w:rPr>
        <w:fldChar w:fldCharType="end"/>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rPr>
      </w:pPr>
      <w:r>
        <w:rPr>
          <w:rFonts w:hint="eastAsia" w:asciiTheme="minorEastAsia" w:hAnsiTheme="minorEastAsia" w:eastAsiaTheme="minorEastAsia" w:cstheme="minorEastAsia"/>
          <w:b/>
          <w:bCs w:val="0"/>
          <w:i w:val="0"/>
          <w:caps w:val="0"/>
          <w:color w:val="0000FF"/>
          <w:spacing w:val="0"/>
          <w:sz w:val="30"/>
          <w:szCs w:val="30"/>
          <w:shd w:val="clear" w:fill="FFFFFF"/>
        </w:rPr>
        <w:t>银行及金融服务</w:t>
      </w:r>
    </w:p>
    <w:p>
      <w:pPr>
        <w:keepNext w:val="0"/>
        <w:keepLines w:val="0"/>
        <w:widowControl/>
        <w:numPr>
          <w:ilvl w:val="0"/>
          <w:numId w:val="3"/>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银行及金融机构负责人丶财务总监及主管丶 资产管理及私募基金经理等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物流及航运服务</w:t>
      </w:r>
    </w:p>
    <w:p>
      <w:pPr>
        <w:keepNext w:val="0"/>
        <w:keepLines w:val="0"/>
        <w:widowControl/>
        <w:numPr>
          <w:ilvl w:val="0"/>
          <w:numId w:val="4"/>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铁路丶码头丶港口丶机场丶航空公司丶船务及航运服务供应商丶货运代理及第三方物流服务供应商等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专业服务</w:t>
      </w:r>
    </w:p>
    <w:p>
      <w:pPr>
        <w:keepNext w:val="0"/>
        <w:keepLines w:val="0"/>
        <w:widowControl/>
        <w:numPr>
          <w:ilvl w:val="0"/>
          <w:numId w:val="5"/>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律师丶会计师丶企业管理顾问丶仲裁及纠纷调解专家等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基础设施建设</w:t>
      </w:r>
    </w:p>
    <w:p>
      <w:pPr>
        <w:keepNext w:val="0"/>
        <w:keepLines w:val="0"/>
        <w:widowControl/>
        <w:numPr>
          <w:ilvl w:val="0"/>
          <w:numId w:val="6"/>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基建项目发展商丶投资者及营运者丶工程师丶测量师丶建筑师丶园境师丶城市规划师，承建商等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跨境投资</w:t>
      </w:r>
    </w:p>
    <w:p>
      <w:pPr>
        <w:keepNext w:val="0"/>
        <w:keepLines w:val="0"/>
        <w:widowControl/>
        <w:numPr>
          <w:ilvl w:val="0"/>
          <w:numId w:val="7"/>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主权基金经理丶机构投资者丶企业家丶国际企业集团首脑丶高层决策主管等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国际贸易及制造业</w:t>
      </w:r>
    </w:p>
    <w:p>
      <w:pPr>
        <w:keepNext w:val="0"/>
        <w:keepLines w:val="0"/>
        <w:widowControl/>
        <w:numPr>
          <w:ilvl w:val="0"/>
          <w:numId w:val="8"/>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供应链管理专家丶工业园区主管及营运商丶工业家及贸易商等</w:t>
      </w:r>
    </w:p>
    <w:p>
      <w:pPr>
        <w:pStyle w:val="3"/>
        <w:keepNext w:val="0"/>
        <w:keepLines w:val="0"/>
        <w:widowControl/>
        <w:suppressLineNumbers w:val="0"/>
        <w:shd w:val="clear" w:fill="FFFFFF"/>
        <w:spacing w:after="225" w:afterAutospacing="0" w:line="263" w:lineRule="atLeast"/>
        <w:ind w:left="0" w:firstLine="0"/>
        <w:rPr>
          <w:rFonts w:hint="eastAsia" w:asciiTheme="minorEastAsia" w:hAnsiTheme="minorEastAsia" w:eastAsiaTheme="minorEastAsia" w:cstheme="minorEastAsia"/>
          <w:b/>
          <w:bCs w:val="0"/>
          <w:i w:val="0"/>
          <w:caps w:val="0"/>
          <w:color w:val="0000FF"/>
          <w:spacing w:val="0"/>
          <w:sz w:val="30"/>
          <w:szCs w:val="30"/>
          <w:shd w:val="clear" w:fill="FFFFFF"/>
        </w:rPr>
      </w:pPr>
      <w:r>
        <w:rPr>
          <w:rFonts w:hint="eastAsia" w:asciiTheme="minorEastAsia" w:hAnsiTheme="minorEastAsia" w:eastAsiaTheme="minorEastAsia" w:cstheme="minorEastAsia"/>
          <w:b/>
          <w:bCs w:val="0"/>
          <w:i w:val="0"/>
          <w:caps w:val="0"/>
          <w:color w:val="0000FF"/>
          <w:spacing w:val="0"/>
          <w:sz w:val="30"/>
          <w:szCs w:val="30"/>
          <w:shd w:val="clear" w:fill="FFFFFF"/>
        </w:rPr>
        <w:t>政府及其他机构</w:t>
      </w:r>
    </w:p>
    <w:p>
      <w:pPr>
        <w:keepNext w:val="0"/>
        <w:keepLines w:val="0"/>
        <w:widowControl/>
        <w:numPr>
          <w:ilvl w:val="0"/>
          <w:numId w:val="9"/>
        </w:numPr>
        <w:suppressLineNumbers w:val="0"/>
        <w:spacing w:before="0" w:beforeAutospacing="1" w:after="0" w:afterAutospacing="1" w:line="300" w:lineRule="atLeast"/>
        <w:ind w:left="720" w:hanging="360"/>
        <w:rPr>
          <w:rFonts w:hint="eastAsia" w:asciiTheme="minorEastAsia" w:hAnsiTheme="minorEastAsia" w:eastAsiaTheme="minorEastAsia" w:cstheme="minorEastAsia"/>
        </w:rPr>
      </w:pPr>
      <w:r>
        <w:rPr>
          <w:rFonts w:hint="eastAsia" w:asciiTheme="minorEastAsia" w:hAnsiTheme="minorEastAsia" w:eastAsiaTheme="minorEastAsia" w:cstheme="minorEastAsia"/>
          <w:b w:val="0"/>
          <w:i w:val="0"/>
          <w:caps w:val="0"/>
          <w:color w:val="333333"/>
          <w:spacing w:val="0"/>
          <w:sz w:val="21"/>
          <w:szCs w:val="21"/>
          <w:shd w:val="clear" w:fill="FFFFFF"/>
        </w:rPr>
        <w:t>主管经济发展及区域合作官员丶财政及商务部代表丶投资及贸易促进机构丶智库丶经济研究学者等</w:t>
      </w:r>
    </w:p>
    <w:p>
      <w:pPr>
        <w:adjustRightInd w:val="0"/>
        <w:snapToGrid w:val="0"/>
        <w:spacing w:line="360" w:lineRule="auto"/>
        <w:rPr>
          <w:rFonts w:hint="eastAsia" w:ascii="仿宋_GB2312" w:eastAsia="仿宋_GB2312"/>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Verdana">
    <w:panose1 w:val="020B0604030504040204"/>
    <w:charset w:val="00"/>
    <w:family w:val="auto"/>
    <w:pitch w:val="default"/>
    <w:sig w:usb0="A10006FF" w:usb1="4000205B" w:usb2="00000010" w:usb3="00000000" w:csb0="2000019F" w:csb1="00000000"/>
  </w:font>
  <w:font w:name="文鼎中特广告体">
    <w:panose1 w:val="020B060201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文鼎霹雳体">
    <w:panose1 w:val="020B0602010101010101"/>
    <w:charset w:val="86"/>
    <w:family w:val="auto"/>
    <w:pitch w:val="default"/>
    <w:sig w:usb0="00000001" w:usb1="080E0000" w:usb2="00000000" w:usb3="00000000" w:csb0="00040000" w:csb1="00000000"/>
  </w:font>
  <w:font w:name="华康雅宋体W9(P)">
    <w:panose1 w:val="02020900000000000000"/>
    <w:charset w:val="86"/>
    <w:family w:val="auto"/>
    <w:pitch w:val="default"/>
    <w:sig w:usb0="00000001" w:usb1="08010000" w:usb2="00000012" w:usb3="00000000" w:csb0="00040000" w:csb1="00000000"/>
  </w:font>
  <w:font w:name="华康雅宋体W9">
    <w:panose1 w:val="02020909000000000000"/>
    <w:charset w:val="86"/>
    <w:family w:val="auto"/>
    <w:pitch w:val="default"/>
    <w:sig w:usb0="00000001" w:usb1="08010000" w:usb2="00000012" w:usb3="00000000" w:csb0="00040000" w:csb1="00000000"/>
  </w:font>
  <w:font w:name="书体坊赵九江钢笔楷书">
    <w:panose1 w:val="03000509000000000000"/>
    <w:charset w:val="86"/>
    <w:family w:val="auto"/>
    <w:pitch w:val="default"/>
    <w:sig w:usb0="00000001" w:usb1="080E0000" w:usb2="00000000" w:usb3="00000000" w:csb0="00040000" w:csb1="00000000"/>
  </w:font>
  <w:font w:name="叶根友蚕燕隶书(3500)">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孙过庭草体测试版">
    <w:panose1 w:val="02010601030101010101"/>
    <w:charset w:val="86"/>
    <w:family w:val="auto"/>
    <w:pitch w:val="default"/>
    <w:sig w:usb0="00000001" w:usb1="080E0000" w:usb2="00000000" w:usb3="00000000" w:csb0="00040000" w:csb1="00000000"/>
  </w:font>
  <w:font w:name="庞中华简体 V2007">
    <w:panose1 w:val="02000600000000000000"/>
    <w:charset w:val="86"/>
    <w:family w:val="auto"/>
    <w:pitch w:val="default"/>
    <w:sig w:usb0="FFFFFFFF" w:usb1="E9FFFFFF" w:usb2="0000003F" w:usb3="00000000" w:csb0="603F00FF" w:csb1="FFFF0000"/>
  </w:font>
  <w:font w:name="方正兰亭超细黑简体">
    <w:panose1 w:val="02000000000000000000"/>
    <w:charset w:val="86"/>
    <w:family w:val="auto"/>
    <w:pitch w:val="default"/>
    <w:sig w:usb0="00000001" w:usb1="08000000" w:usb2="00000000" w:usb3="00000000" w:csb0="00040000" w:csb1="00000000"/>
  </w:font>
  <w:font w:name="明黑等宽">
    <w:panose1 w:val="020B0609000000000000"/>
    <w:charset w:val="86"/>
    <w:family w:val="auto"/>
    <w:pitch w:val="default"/>
    <w:sig w:usb0="A00002BF" w:usb1="38CF7CFA" w:usb2="00000016" w:usb3="00000000" w:csb0="00060007" w:csb1="00000000"/>
  </w:font>
  <w:font w:name="昆仑黑体">
    <w:panose1 w:val="02010609000101010101"/>
    <w:charset w:val="00"/>
    <w:family w:val="auto"/>
    <w:pitch w:val="default"/>
    <w:sig w:usb0="00000000" w:usb1="00000000" w:usb2="00000000" w:usb3="00000000" w:csb0="00000000" w:csb1="00000000"/>
  </w:font>
  <w:font w:name="时尚中黑简体">
    <w:panose1 w:val="01010104010101010101"/>
    <w:charset w:val="86"/>
    <w:family w:val="auto"/>
    <w:pitch w:val="default"/>
    <w:sig w:usb0="800002BF" w:usb1="184F6CF8"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Open Sans">
    <w:altName w:val="★日文毛笔"/>
    <w:panose1 w:val="00000000000000000000"/>
    <w:charset w:val="00"/>
    <w:family w:val="auto"/>
    <w:pitch w:val="default"/>
    <w:sig w:usb0="00000000" w:usb1="00000000" w:usb2="00000000" w:usb3="00000000" w:csb0="00000000" w:csb1="00000000"/>
  </w:font>
  <w:font w:name="Lato">
    <w:altName w:val="★日文毛笔"/>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锐字云字库隶书体1.0">
    <w:panose1 w:val="02010604000000000000"/>
    <w:charset w:val="86"/>
    <w:family w:val="auto"/>
    <w:pitch w:val="default"/>
    <w:sig w:usb0="00000003" w:usb1="080E0000" w:usb2="00000000" w:usb3="00000000" w:csb0="00040001" w:csb1="00000000"/>
  </w:font>
  <w:font w:name="书体坊兰亭体">
    <w:panose1 w:val="03000509000000000000"/>
    <w:charset w:val="86"/>
    <w:family w:val="auto"/>
    <w:pitch w:val="default"/>
    <w:sig w:usb0="00000001" w:usb1="080F0000" w:usb2="00000000" w:usb3="00000000" w:csb0="00140000" w:csb1="00000000"/>
  </w:font>
  <w:font w:name="书体坊安景臣钢笔行书">
    <w:panose1 w:val="02010601030101010101"/>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书体坊硬笔行书3500">
    <w:panose1 w:val="02010601030101010101"/>
    <w:charset w:val="86"/>
    <w:family w:val="auto"/>
    <w:pitch w:val="default"/>
    <w:sig w:usb0="00000003" w:usb1="080E0000" w:usb2="00000000" w:usb3="00000000" w:csb0="00040000" w:csb1="00000000"/>
  </w:font>
  <w:font w:name="书体坊米芾体">
    <w:panose1 w:val="02010601030101010101"/>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创艺简标宋">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8DB5F"/>
    <w:multiLevelType w:val="singleLevel"/>
    <w:tmpl w:val="5948DB5F"/>
    <w:lvl w:ilvl="0" w:tentative="0">
      <w:start w:val="1"/>
      <w:numFmt w:val="chineseCounting"/>
      <w:suff w:val="nothing"/>
      <w:lvlText w:val="%1、"/>
      <w:lvlJc w:val="left"/>
    </w:lvl>
  </w:abstractNum>
  <w:abstractNum w:abstractNumId="1">
    <w:nsid w:val="5948DC2D"/>
    <w:multiLevelType w:val="singleLevel"/>
    <w:tmpl w:val="5948DC2D"/>
    <w:lvl w:ilvl="0" w:tentative="0">
      <w:start w:val="4"/>
      <w:numFmt w:val="chineseCounting"/>
      <w:suff w:val="nothing"/>
      <w:lvlText w:val="%1、"/>
      <w:lvlJc w:val="left"/>
    </w:lvl>
  </w:abstractNum>
  <w:abstractNum w:abstractNumId="2">
    <w:nsid w:val="5949E1FD"/>
    <w:multiLevelType w:val="multilevel"/>
    <w:tmpl w:val="5949E1F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949E208"/>
    <w:multiLevelType w:val="multilevel"/>
    <w:tmpl w:val="5949E2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949E213"/>
    <w:multiLevelType w:val="multilevel"/>
    <w:tmpl w:val="5949E2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949E21E"/>
    <w:multiLevelType w:val="multilevel"/>
    <w:tmpl w:val="5949E21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949E229"/>
    <w:multiLevelType w:val="multilevel"/>
    <w:tmpl w:val="5949E22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949E234"/>
    <w:multiLevelType w:val="multilevel"/>
    <w:tmpl w:val="5949E2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949E23F"/>
    <w:multiLevelType w:val="multilevel"/>
    <w:tmpl w:val="5949E2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4F"/>
    <w:rsid w:val="00013FD6"/>
    <w:rsid w:val="000369BA"/>
    <w:rsid w:val="00082245"/>
    <w:rsid w:val="00085A3E"/>
    <w:rsid w:val="000949E4"/>
    <w:rsid w:val="00097315"/>
    <w:rsid w:val="000A4DCA"/>
    <w:rsid w:val="000A59D7"/>
    <w:rsid w:val="000D3610"/>
    <w:rsid w:val="000E45C1"/>
    <w:rsid w:val="00166D1A"/>
    <w:rsid w:val="001679C3"/>
    <w:rsid w:val="001C00C4"/>
    <w:rsid w:val="002137CF"/>
    <w:rsid w:val="00227AC7"/>
    <w:rsid w:val="002442BF"/>
    <w:rsid w:val="00274208"/>
    <w:rsid w:val="002B19BF"/>
    <w:rsid w:val="002E0EC7"/>
    <w:rsid w:val="002E5937"/>
    <w:rsid w:val="002F7116"/>
    <w:rsid w:val="0039554C"/>
    <w:rsid w:val="00462361"/>
    <w:rsid w:val="004627AE"/>
    <w:rsid w:val="00481950"/>
    <w:rsid w:val="004E0027"/>
    <w:rsid w:val="004E4546"/>
    <w:rsid w:val="005066C0"/>
    <w:rsid w:val="00512BC9"/>
    <w:rsid w:val="00550E68"/>
    <w:rsid w:val="0056082D"/>
    <w:rsid w:val="00587EDB"/>
    <w:rsid w:val="005C1DC6"/>
    <w:rsid w:val="005D6A55"/>
    <w:rsid w:val="005E48FB"/>
    <w:rsid w:val="005F001A"/>
    <w:rsid w:val="005F381D"/>
    <w:rsid w:val="006057D9"/>
    <w:rsid w:val="0062647D"/>
    <w:rsid w:val="006C58AA"/>
    <w:rsid w:val="006D6439"/>
    <w:rsid w:val="00701E7A"/>
    <w:rsid w:val="00727DEC"/>
    <w:rsid w:val="00744F9F"/>
    <w:rsid w:val="00780BFA"/>
    <w:rsid w:val="007A7D2E"/>
    <w:rsid w:val="007B02F1"/>
    <w:rsid w:val="00810AB3"/>
    <w:rsid w:val="00830DED"/>
    <w:rsid w:val="00842064"/>
    <w:rsid w:val="0084699E"/>
    <w:rsid w:val="00895D4E"/>
    <w:rsid w:val="00897F08"/>
    <w:rsid w:val="008A2EDA"/>
    <w:rsid w:val="008B771A"/>
    <w:rsid w:val="008D7661"/>
    <w:rsid w:val="008E3BF4"/>
    <w:rsid w:val="008F4BF9"/>
    <w:rsid w:val="00913D5E"/>
    <w:rsid w:val="009608DD"/>
    <w:rsid w:val="00971EAE"/>
    <w:rsid w:val="00990037"/>
    <w:rsid w:val="009C3A4F"/>
    <w:rsid w:val="009F0820"/>
    <w:rsid w:val="00A00FC1"/>
    <w:rsid w:val="00A12EAA"/>
    <w:rsid w:val="00A74158"/>
    <w:rsid w:val="00A84148"/>
    <w:rsid w:val="00AA071D"/>
    <w:rsid w:val="00AB6FE7"/>
    <w:rsid w:val="00AD4509"/>
    <w:rsid w:val="00B22642"/>
    <w:rsid w:val="00B50C96"/>
    <w:rsid w:val="00BB1118"/>
    <w:rsid w:val="00BC2572"/>
    <w:rsid w:val="00BC3DA5"/>
    <w:rsid w:val="00BC60E8"/>
    <w:rsid w:val="00C46EA3"/>
    <w:rsid w:val="00CA77BD"/>
    <w:rsid w:val="00CA7ADA"/>
    <w:rsid w:val="00CB0921"/>
    <w:rsid w:val="00CC40E4"/>
    <w:rsid w:val="00D103CB"/>
    <w:rsid w:val="00D6481D"/>
    <w:rsid w:val="00D65485"/>
    <w:rsid w:val="00D662CD"/>
    <w:rsid w:val="00DA7F99"/>
    <w:rsid w:val="00DE572B"/>
    <w:rsid w:val="00E26D44"/>
    <w:rsid w:val="00E40B3E"/>
    <w:rsid w:val="00E61030"/>
    <w:rsid w:val="00E709C1"/>
    <w:rsid w:val="00EA1032"/>
    <w:rsid w:val="00EC037B"/>
    <w:rsid w:val="00F007FD"/>
    <w:rsid w:val="00F128C0"/>
    <w:rsid w:val="00F14BCC"/>
    <w:rsid w:val="00F441D0"/>
    <w:rsid w:val="00FA6CCC"/>
    <w:rsid w:val="00FC20B7"/>
    <w:rsid w:val="01D876D2"/>
    <w:rsid w:val="057C743C"/>
    <w:rsid w:val="1B563E0E"/>
    <w:rsid w:val="1CE25861"/>
    <w:rsid w:val="1EAB6D28"/>
    <w:rsid w:val="202767FB"/>
    <w:rsid w:val="21810B2D"/>
    <w:rsid w:val="21C757E8"/>
    <w:rsid w:val="21F1188B"/>
    <w:rsid w:val="28AC18B8"/>
    <w:rsid w:val="2A9677E5"/>
    <w:rsid w:val="2C5C7530"/>
    <w:rsid w:val="43FC4AD7"/>
    <w:rsid w:val="459D4B1E"/>
    <w:rsid w:val="4C9C0732"/>
    <w:rsid w:val="584E0233"/>
    <w:rsid w:val="5B1B2BC1"/>
    <w:rsid w:val="5B277984"/>
    <w:rsid w:val="5C5B3AAA"/>
    <w:rsid w:val="637D00C6"/>
    <w:rsid w:val="65582DC0"/>
    <w:rsid w:val="6815715D"/>
    <w:rsid w:val="6EDF62DA"/>
    <w:rsid w:val="70BB2FF2"/>
    <w:rsid w:val="71BC794E"/>
    <w:rsid w:val="7CEA2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ody Text Indent"/>
    <w:basedOn w:val="1"/>
    <w:unhideWhenUsed/>
    <w:qFormat/>
    <w:uiPriority w:val="99"/>
    <w:pPr>
      <w:tabs>
        <w:tab w:val="left" w:pos="5655"/>
      </w:tabs>
      <w:ind w:firstLine="640" w:firstLineChars="200"/>
    </w:pPr>
    <w:rPr>
      <w:rFonts w:ascii="仿宋_GB2312" w:eastAsia="仿宋_GB2312"/>
      <w:sz w:val="32"/>
    </w:rPr>
  </w:style>
  <w:style w:type="paragraph" w:styleId="5">
    <w:name w:val="Date"/>
    <w:basedOn w:val="1"/>
    <w:next w:val="1"/>
    <w:link w:val="19"/>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rPr>
  </w:style>
  <w:style w:type="character" w:styleId="12">
    <w:name w:val="FollowedHyperlink"/>
    <w:basedOn w:val="10"/>
    <w:unhideWhenUsed/>
    <w:qFormat/>
    <w:uiPriority w:val="99"/>
    <w:rPr>
      <w:rFonts w:ascii="����" w:hAnsi="����" w:eastAsia="����" w:cs="����"/>
      <w:color w:val="000000"/>
      <w:sz w:val="21"/>
      <w:szCs w:val="21"/>
      <w:u w:val="none"/>
    </w:rPr>
  </w:style>
  <w:style w:type="character" w:styleId="13">
    <w:name w:val="Hyperlink"/>
    <w:basedOn w:val="10"/>
    <w:unhideWhenUsed/>
    <w:qFormat/>
    <w:uiPriority w:val="99"/>
    <w:rPr>
      <w:rFonts w:hint="default" w:ascii="����" w:hAnsi="����" w:eastAsia="����" w:cs="����"/>
      <w:color w:val="000000"/>
      <w:sz w:val="21"/>
      <w:szCs w:val="21"/>
      <w:u w:val="none"/>
    </w:rPr>
  </w:style>
  <w:style w:type="paragraph" w:customStyle="1" w:styleId="15">
    <w:name w:val="List Paragraph"/>
    <w:basedOn w:val="1"/>
    <w:qFormat/>
    <w:uiPriority w:val="34"/>
    <w:pPr>
      <w:ind w:firstLine="420" w:firstLineChars="200"/>
    </w:pPr>
  </w:style>
  <w:style w:type="character" w:customStyle="1" w:styleId="16">
    <w:name w:val="页眉 Char"/>
    <w:basedOn w:val="10"/>
    <w:link w:val="8"/>
    <w:semiHidden/>
    <w:qFormat/>
    <w:uiPriority w:val="99"/>
    <w:rPr>
      <w:rFonts w:ascii="Times New Roman" w:hAnsi="Times New Roman" w:eastAsia="宋体" w:cs="Times New Roman"/>
      <w:sz w:val="18"/>
      <w:szCs w:val="18"/>
    </w:rPr>
  </w:style>
  <w:style w:type="character" w:customStyle="1" w:styleId="17">
    <w:name w:val="页脚 Char"/>
    <w:basedOn w:val="10"/>
    <w:link w:val="7"/>
    <w:semiHidden/>
    <w:qFormat/>
    <w:uiPriority w:val="99"/>
    <w:rPr>
      <w:rFonts w:ascii="Times New Roman" w:hAnsi="Times New Roman" w:eastAsia="宋体" w:cs="Times New Roman"/>
      <w:sz w:val="18"/>
      <w:szCs w:val="18"/>
    </w:rPr>
  </w:style>
  <w:style w:type="character" w:customStyle="1" w:styleId="18">
    <w:name w:val="批注框文本 Char"/>
    <w:basedOn w:val="10"/>
    <w:link w:val="6"/>
    <w:semiHidden/>
    <w:qFormat/>
    <w:uiPriority w:val="99"/>
    <w:rPr>
      <w:rFonts w:ascii="Times New Roman" w:hAnsi="Times New Roman" w:eastAsia="宋体" w:cs="Times New Roman"/>
      <w:sz w:val="18"/>
      <w:szCs w:val="18"/>
    </w:rPr>
  </w:style>
  <w:style w:type="character" w:customStyle="1" w:styleId="19">
    <w:name w:val="日期 Char"/>
    <w:basedOn w:val="10"/>
    <w:link w:val="5"/>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B9C14-A67E-40E6-AA63-64FB54CA06DB}">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4</Pages>
  <Words>1299</Words>
  <Characters>1504</Characters>
  <Lines>13</Lines>
  <Paragraphs>3</Paragraphs>
  <ScaleCrop>false</ScaleCrop>
  <LinksUpToDate>false</LinksUpToDate>
  <CharactersWithSpaces>1693</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2017-05-19T02:01:00Z</dcterms:created>
  <dc:creator>POM</dc:creator>
  <cp:lastModifiedBy>Administrator</cp:lastModifiedBy>
  <dcterms:modified xsi:type="dcterms:W3CDTF">2017-06-21T02:26:25Z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